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402EF2FE"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862F8C">
        <w:rPr>
          <w:rFonts w:asciiTheme="minorHAnsi" w:hAnsiTheme="minorHAnsi" w:cs="Arial"/>
          <w:sz w:val="22"/>
          <w:szCs w:val="22"/>
        </w:rPr>
        <w:t>Patient Care Technician</w:t>
      </w:r>
      <w:r w:rsidR="001C59E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82FA907" w14:textId="2FB60A01" w:rsidR="00407D15" w:rsidRPr="00565A8F" w:rsidRDefault="00862F8C" w:rsidP="00407D15">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Patient care technician</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w:t>
      </w:r>
      <w:r w:rsidR="00C54E30">
        <w:rPr>
          <w:rFonts w:asciiTheme="minorHAnsi" w:hAnsiTheme="minorHAnsi" w:cstheme="minorHAnsi"/>
          <w:color w:val="343434"/>
          <w:sz w:val="22"/>
          <w:szCs w:val="22"/>
        </w:rPr>
        <w:t xml:space="preserve">and practicum of the </w:t>
      </w:r>
      <w:r>
        <w:rPr>
          <w:rFonts w:asciiTheme="minorHAnsi" w:hAnsiTheme="minorHAnsi" w:cstheme="minorHAnsi"/>
          <w:color w:val="343434"/>
          <w:sz w:val="22"/>
          <w:szCs w:val="22"/>
        </w:rPr>
        <w:t>patient care technician</w:t>
      </w:r>
      <w:r w:rsidR="00EA3D23">
        <w:rPr>
          <w:rFonts w:asciiTheme="minorHAnsi" w:hAnsiTheme="minorHAnsi" w:cstheme="minorHAnsi"/>
          <w:color w:val="343434"/>
          <w:sz w:val="22"/>
          <w:szCs w:val="22"/>
        </w:rPr>
        <w:t xml:space="preserve"> field</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Patient care technician</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patient care</w:t>
      </w:r>
      <w:r w:rsidR="00657449">
        <w:rPr>
          <w:rFonts w:asciiTheme="minorHAnsi" w:hAnsiTheme="minorHAnsi" w:cstheme="minorHAnsi"/>
          <w:color w:val="343434"/>
          <w:sz w:val="22"/>
          <w:szCs w:val="22"/>
        </w:rPr>
        <w:t xml:space="preserve"> and </w:t>
      </w:r>
      <w:r>
        <w:rPr>
          <w:rFonts w:asciiTheme="minorHAnsi" w:hAnsiTheme="minorHAnsi" w:cstheme="minorHAnsi"/>
          <w:color w:val="343434"/>
          <w:sz w:val="22"/>
          <w:szCs w:val="22"/>
        </w:rPr>
        <w:t>patient care</w:t>
      </w:r>
      <w:r w:rsidR="00407D15">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instruction in order teach a wide range of knowledge and skills, including, but not limited </w:t>
      </w:r>
      <w:r w:rsidR="00C21A03" w:rsidRPr="00BC07FC">
        <w:rPr>
          <w:rFonts w:asciiTheme="minorHAnsi" w:hAnsiTheme="minorHAnsi" w:cstheme="minorHAnsi"/>
          <w:color w:val="343434"/>
          <w:sz w:val="22"/>
          <w:szCs w:val="22"/>
        </w:rPr>
        <w:t>to</w:t>
      </w:r>
      <w:r w:rsidR="00BC07FC" w:rsidRPr="00DA1ECC">
        <w:rPr>
          <w:rFonts w:asciiTheme="minorHAnsi" w:hAnsiTheme="minorHAnsi" w:cstheme="minorHAnsi"/>
          <w:color w:val="343434"/>
          <w:sz w:val="22"/>
          <w:szCs w:val="22"/>
        </w:rPr>
        <w:t xml:space="preserve"> </w:t>
      </w:r>
      <w:r>
        <w:rPr>
          <w:rFonts w:asciiTheme="minorHAnsi" w:hAnsiTheme="minorHAnsi" w:cstheme="minorHAnsi"/>
          <w:color w:val="444444"/>
          <w:sz w:val="22"/>
          <w:szCs w:val="22"/>
          <w:shd w:val="clear" w:color="auto" w:fill="FFFFFF"/>
        </w:rPr>
        <w:t xml:space="preserve">role and </w:t>
      </w:r>
      <w:r w:rsidR="00565A8F">
        <w:rPr>
          <w:rFonts w:asciiTheme="minorHAnsi" w:hAnsiTheme="minorHAnsi" w:cstheme="minorHAnsi"/>
          <w:color w:val="444444"/>
          <w:sz w:val="22"/>
          <w:szCs w:val="22"/>
          <w:shd w:val="clear" w:color="auto" w:fill="FFFFFF"/>
        </w:rPr>
        <w:t>responsibilities</w:t>
      </w:r>
      <w:r>
        <w:rPr>
          <w:rFonts w:asciiTheme="minorHAnsi" w:hAnsiTheme="minorHAnsi" w:cstheme="minorHAnsi"/>
          <w:color w:val="444444"/>
          <w:sz w:val="22"/>
          <w:szCs w:val="22"/>
          <w:shd w:val="clear" w:color="auto" w:fill="FFFFFF"/>
        </w:rPr>
        <w:t xml:space="preserve"> of a patient care technician, basic knowledge of normal </w:t>
      </w:r>
      <w:r w:rsidR="00565A8F">
        <w:rPr>
          <w:rFonts w:asciiTheme="minorHAnsi" w:hAnsiTheme="minorHAnsi" w:cstheme="minorHAnsi"/>
          <w:color w:val="444444"/>
          <w:sz w:val="22"/>
          <w:szCs w:val="22"/>
          <w:shd w:val="clear" w:color="auto" w:fill="FFFFFF"/>
        </w:rPr>
        <w:t>structure</w:t>
      </w:r>
      <w:r>
        <w:rPr>
          <w:rFonts w:asciiTheme="minorHAnsi" w:hAnsiTheme="minorHAnsi" w:cstheme="minorHAnsi"/>
          <w:color w:val="444444"/>
          <w:sz w:val="22"/>
          <w:szCs w:val="22"/>
          <w:shd w:val="clear" w:color="auto" w:fill="FFFFFF"/>
        </w:rPr>
        <w:t xml:space="preserve"> and function of the human body to distinguish between normal and abnormal functioning, safe and appropriate bedside care to a patient</w:t>
      </w:r>
      <w:r w:rsidR="00565A8F">
        <w:rPr>
          <w:rFonts w:asciiTheme="minorHAnsi" w:hAnsiTheme="minorHAnsi" w:cstheme="minorHAnsi"/>
          <w:color w:val="444444"/>
          <w:sz w:val="22"/>
          <w:szCs w:val="22"/>
          <w:shd w:val="clear" w:color="auto" w:fill="FFFFFF"/>
        </w:rPr>
        <w:t xml:space="preserve">.  </w:t>
      </w:r>
      <w:r w:rsidR="00565A8F" w:rsidRPr="00565A8F">
        <w:rPr>
          <w:rFonts w:asciiTheme="minorHAnsi" w:hAnsiTheme="minorHAnsi" w:cstheme="minorHAnsi"/>
          <w:color w:val="444444"/>
          <w:sz w:val="22"/>
          <w:szCs w:val="22"/>
          <w:shd w:val="clear" w:color="auto" w:fill="FFFFFF"/>
        </w:rPr>
        <w:t xml:space="preserve">This </w:t>
      </w:r>
      <w:r w:rsidR="00565A8F">
        <w:rPr>
          <w:rFonts w:asciiTheme="minorHAnsi" w:hAnsiTheme="minorHAnsi" w:cstheme="minorHAnsi"/>
          <w:color w:val="444444"/>
          <w:sz w:val="22"/>
          <w:szCs w:val="22"/>
          <w:shd w:val="clear" w:color="auto" w:fill="FFFFFF"/>
        </w:rPr>
        <w:t xml:space="preserve">instructor </w:t>
      </w:r>
      <w:r w:rsidR="00565A8F" w:rsidRPr="00565A8F">
        <w:rPr>
          <w:rFonts w:asciiTheme="minorHAnsi" w:hAnsiTheme="minorHAnsi" w:cstheme="minorHAnsi"/>
          <w:color w:val="444444"/>
          <w:sz w:val="22"/>
          <w:szCs w:val="22"/>
          <w:shd w:val="clear" w:color="auto" w:fill="FFFFFF"/>
        </w:rPr>
        <w:t>prepares individuals for a variety of job opportunities in the health occupation fields and is designed to meet the need for cross training of employees in health care facilities.</w:t>
      </w:r>
    </w:p>
    <w:p w14:paraId="626AEF52" w14:textId="77777777" w:rsidR="00657449" w:rsidRPr="00657449" w:rsidRDefault="00657449" w:rsidP="00407D15">
      <w:pPr>
        <w:rPr>
          <w:rFonts w:asciiTheme="minorHAnsi" w:hAnsiTheme="minorHAnsi" w:cstheme="minorHAnsi"/>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College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care of classroom, shop, and lab facilities.  Including care of equipment and supplies with documentation in accordance to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r w:rsidRPr="00340CE6">
        <w:rPr>
          <w:rFonts w:asciiTheme="minorHAnsi" w:hAnsiTheme="minorHAnsi" w:cstheme="minorHAnsi"/>
          <w:sz w:val="22"/>
          <w:szCs w:val="22"/>
        </w:rPr>
        <w:t xml:space="preserve">College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r w:rsidRPr="007B39C7">
        <w:rPr>
          <w:rFonts w:asciiTheme="minorHAnsi" w:hAnsiTheme="minorHAnsi" w:cstheme="minorHAnsi"/>
          <w:spacing w:val="-1"/>
          <w:sz w:val="22"/>
          <w:szCs w:val="22"/>
        </w:rPr>
        <w:lastRenderedPageBreak/>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EA49" w14:textId="77777777" w:rsidR="00CA6B5D" w:rsidRDefault="00CA6B5D">
      <w:r>
        <w:separator/>
      </w:r>
    </w:p>
  </w:endnote>
  <w:endnote w:type="continuationSeparator" w:id="0">
    <w:p w14:paraId="3CD8A9A5" w14:textId="77777777" w:rsidR="00CA6B5D" w:rsidRDefault="00CA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D0B" w14:textId="77777777" w:rsidR="00CA6B5D" w:rsidRDefault="00CA6B5D">
      <w:r>
        <w:separator/>
      </w:r>
    </w:p>
  </w:footnote>
  <w:footnote w:type="continuationSeparator" w:id="0">
    <w:p w14:paraId="6AA0113F" w14:textId="77777777" w:rsidR="00CA6B5D" w:rsidRDefault="00CA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34A6B"/>
    <w:rsid w:val="00141A95"/>
    <w:rsid w:val="001564C8"/>
    <w:rsid w:val="00165E39"/>
    <w:rsid w:val="001672CF"/>
    <w:rsid w:val="00173417"/>
    <w:rsid w:val="001766F1"/>
    <w:rsid w:val="00196781"/>
    <w:rsid w:val="001B684A"/>
    <w:rsid w:val="001B6C32"/>
    <w:rsid w:val="001C0F4D"/>
    <w:rsid w:val="001C59E7"/>
    <w:rsid w:val="001D76D4"/>
    <w:rsid w:val="001E7F90"/>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F1B05"/>
    <w:rsid w:val="003F2CCE"/>
    <w:rsid w:val="003F3390"/>
    <w:rsid w:val="00407D15"/>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5A8F"/>
    <w:rsid w:val="00567C33"/>
    <w:rsid w:val="00574573"/>
    <w:rsid w:val="005837AD"/>
    <w:rsid w:val="0059509C"/>
    <w:rsid w:val="005C0521"/>
    <w:rsid w:val="005D1DA0"/>
    <w:rsid w:val="005E1605"/>
    <w:rsid w:val="00615CEC"/>
    <w:rsid w:val="00657449"/>
    <w:rsid w:val="0068768B"/>
    <w:rsid w:val="006A0F51"/>
    <w:rsid w:val="006C337C"/>
    <w:rsid w:val="00731F72"/>
    <w:rsid w:val="00745B3B"/>
    <w:rsid w:val="007524C7"/>
    <w:rsid w:val="00753635"/>
    <w:rsid w:val="00770CE2"/>
    <w:rsid w:val="00771F37"/>
    <w:rsid w:val="00796F5A"/>
    <w:rsid w:val="007B39C7"/>
    <w:rsid w:val="00800DCE"/>
    <w:rsid w:val="008014DA"/>
    <w:rsid w:val="00825D3F"/>
    <w:rsid w:val="00845B9C"/>
    <w:rsid w:val="00862F8C"/>
    <w:rsid w:val="00865573"/>
    <w:rsid w:val="00883FFE"/>
    <w:rsid w:val="008864C5"/>
    <w:rsid w:val="008B5C25"/>
    <w:rsid w:val="008C563D"/>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72B5"/>
    <w:rsid w:val="00C41CE4"/>
    <w:rsid w:val="00C54E30"/>
    <w:rsid w:val="00C62EF8"/>
    <w:rsid w:val="00C85C24"/>
    <w:rsid w:val="00CA6B5D"/>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A5388"/>
    <w:rsid w:val="00DF366E"/>
    <w:rsid w:val="00E02C45"/>
    <w:rsid w:val="00E06391"/>
    <w:rsid w:val="00E60D54"/>
    <w:rsid w:val="00E91C84"/>
    <w:rsid w:val="00EA3D23"/>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3</cp:revision>
  <cp:lastPrinted>2023-08-23T20:30:00Z</cp:lastPrinted>
  <dcterms:created xsi:type="dcterms:W3CDTF">2023-10-16T15:57:00Z</dcterms:created>
  <dcterms:modified xsi:type="dcterms:W3CDTF">2023-10-16T18:20:00Z</dcterms:modified>
</cp:coreProperties>
</file>